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22C2F" w14:textId="77777777" w:rsidR="007C0057" w:rsidRDefault="007C0057" w:rsidP="00BA6A63">
      <w:pPr>
        <w:jc w:val="center"/>
        <w:rPr>
          <w:b/>
          <w:bCs/>
        </w:rPr>
      </w:pPr>
    </w:p>
    <w:p w14:paraId="17248659" w14:textId="77777777" w:rsidR="007C0057" w:rsidRPr="00741181" w:rsidRDefault="007C0057" w:rsidP="007C0057">
      <w:pPr>
        <w:spacing w:after="120" w:line="240" w:lineRule="auto"/>
        <w:jc w:val="center"/>
        <w:rPr>
          <w:rFonts w:eastAsia="Calibri" w:cstheme="minorHAnsi"/>
          <w:b/>
        </w:rPr>
      </w:pPr>
      <w:r>
        <w:rPr>
          <w:rFonts w:eastAsia="Calibri" w:cstheme="minorHAnsi"/>
          <w:b/>
          <w:noProof/>
        </w:rPr>
        <w:drawing>
          <wp:inline distT="0" distB="0" distL="0" distR="0" wp14:anchorId="712F033B" wp14:editId="339BEAAA">
            <wp:extent cx="4996009" cy="1445452"/>
            <wp:effectExtent l="0" t="0" r="0" b="2540"/>
            <wp:docPr id="11501807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180748" name="Picture 1150180748"/>
                    <pic:cNvPicPr/>
                  </pic:nvPicPr>
                  <pic:blipFill rotWithShape="1">
                    <a:blip r:embed="rId8">
                      <a:extLst>
                        <a:ext uri="{28A0092B-C50C-407E-A947-70E740481C1C}">
                          <a14:useLocalDpi xmlns:a14="http://schemas.microsoft.com/office/drawing/2010/main" val="0"/>
                        </a:ext>
                      </a:extLst>
                    </a:blip>
                    <a:srcRect t="23225" b="16056"/>
                    <a:stretch>
                      <a:fillRect/>
                    </a:stretch>
                  </pic:blipFill>
                  <pic:spPr bwMode="auto">
                    <a:xfrm>
                      <a:off x="0" y="0"/>
                      <a:ext cx="4997707" cy="1445943"/>
                    </a:xfrm>
                    <a:prstGeom prst="rect">
                      <a:avLst/>
                    </a:prstGeom>
                    <a:ln>
                      <a:noFill/>
                    </a:ln>
                    <a:extLst>
                      <a:ext uri="{53640926-AAD7-44D8-BBD7-CCE9431645EC}">
                        <a14:shadowObscured xmlns:a14="http://schemas.microsoft.com/office/drawing/2010/main"/>
                      </a:ext>
                    </a:extLst>
                  </pic:spPr>
                </pic:pic>
              </a:graphicData>
            </a:graphic>
          </wp:inline>
        </w:drawing>
      </w:r>
    </w:p>
    <w:p w14:paraId="260FC745" w14:textId="0FBD5C2B" w:rsidR="00C46562" w:rsidRPr="007C0057" w:rsidRDefault="00C46562" w:rsidP="00BA6A63">
      <w:pPr>
        <w:jc w:val="center"/>
        <w:rPr>
          <w:b/>
          <w:bCs/>
          <w:sz w:val="32"/>
          <w:szCs w:val="32"/>
        </w:rPr>
      </w:pPr>
      <w:r w:rsidRPr="007C0057">
        <w:rPr>
          <w:b/>
          <w:bCs/>
          <w:sz w:val="32"/>
          <w:szCs w:val="32"/>
        </w:rPr>
        <w:t xml:space="preserve">Best practice in </w:t>
      </w:r>
      <w:r w:rsidR="00F4406F" w:rsidRPr="007C0057">
        <w:rPr>
          <w:b/>
          <w:bCs/>
          <w:sz w:val="32"/>
          <w:szCs w:val="32"/>
        </w:rPr>
        <w:t>StudentSurvey.ie</w:t>
      </w:r>
      <w:r w:rsidRPr="007C0057">
        <w:rPr>
          <w:b/>
          <w:bCs/>
          <w:sz w:val="32"/>
          <w:szCs w:val="32"/>
        </w:rPr>
        <w:t xml:space="preserve"> fieldwork</w:t>
      </w:r>
    </w:p>
    <w:p w14:paraId="740ABE71" w14:textId="77777777" w:rsidR="0056601D" w:rsidRDefault="0056601D"/>
    <w:p w14:paraId="11D0C8B3" w14:textId="77777777" w:rsidR="00F4406F" w:rsidRDefault="006C4EF0" w:rsidP="006C4EF0">
      <w:r>
        <w:t>This document sets out ideas for good practice in institutions</w:t>
      </w:r>
      <w:r w:rsidR="00F4406F">
        <w:t xml:space="preserve"> in successful StudentSurvey.ie fieldwork, with the aim of maximising response rates, and in turn statistical validity of survey results</w:t>
      </w:r>
      <w:r>
        <w:t xml:space="preserve">.  </w:t>
      </w:r>
    </w:p>
    <w:p w14:paraId="2E0C0703" w14:textId="77777777" w:rsidR="00F4406F" w:rsidRDefault="00F4406F" w:rsidP="006C4EF0"/>
    <w:p w14:paraId="479DB14D" w14:textId="18C96FEC" w:rsidR="006C4EF0" w:rsidRDefault="00F4406F" w:rsidP="006C4EF0">
      <w:r>
        <w:t>Readers should note that e</w:t>
      </w:r>
      <w:r w:rsidR="006C4EF0">
        <w:t>xperience across institutions can vary significantly</w:t>
      </w:r>
      <w:r>
        <w:t>;</w:t>
      </w:r>
      <w:r w:rsidR="006C4EF0">
        <w:t xml:space="preserve"> and staff and student representatives should engage in a wide range of approaches </w:t>
      </w:r>
      <w:r>
        <w:t>to</w:t>
      </w:r>
      <w:r w:rsidR="006C4EF0">
        <w:t xml:space="preserve"> maximise the potential benefit of any one initiative.</w:t>
      </w:r>
    </w:p>
    <w:p w14:paraId="4642983A" w14:textId="77777777" w:rsidR="006C4EF0" w:rsidRDefault="006C4EF0"/>
    <w:p w14:paraId="61AF8E6D" w14:textId="0F9F5BF4" w:rsidR="006C4EF0" w:rsidRPr="006C4EF0" w:rsidRDefault="006C4EF0">
      <w:pPr>
        <w:rPr>
          <w:b/>
          <w:bCs/>
        </w:rPr>
      </w:pPr>
      <w:r>
        <w:rPr>
          <w:b/>
          <w:bCs/>
        </w:rPr>
        <w:t>Introduction</w:t>
      </w:r>
    </w:p>
    <w:p w14:paraId="7B4B3841" w14:textId="03D6C77C" w:rsidR="0056601D" w:rsidRDefault="0056601D">
      <w:r>
        <w:t xml:space="preserve">Taught StudentSurvey.ie takes place in even years, and from 2028, all taught students (undergraduate and postgraduate) studying for a major award are included in the </w:t>
      </w:r>
      <w:r w:rsidR="005F332E">
        <w:t>survey population</w:t>
      </w:r>
      <w:r>
        <w:t xml:space="preserve">.  PGR StudentSurvey.ie takes place in odd years, and includes </w:t>
      </w:r>
      <w:proofErr w:type="gramStart"/>
      <w:r>
        <w:t>Masters</w:t>
      </w:r>
      <w:proofErr w:type="gramEnd"/>
      <w:r>
        <w:t xml:space="preserve"> Research and Doctoral Students.</w:t>
      </w:r>
    </w:p>
    <w:p w14:paraId="07771ABA" w14:textId="77777777" w:rsidR="005F332E" w:rsidRDefault="005F332E"/>
    <w:p w14:paraId="31531803" w14:textId="21E09CEA" w:rsidR="005F332E" w:rsidRDefault="00DE71BE">
      <w:r>
        <w:t>From extensive discussions with StudentSurvey.ie experts in higher education institutions and students’ unions, t</w:t>
      </w:r>
      <w:r w:rsidR="005F332E">
        <w:t xml:space="preserve">he </w:t>
      </w:r>
      <w:r w:rsidR="00661D1D">
        <w:t xml:space="preserve">three </w:t>
      </w:r>
      <w:r w:rsidR="005F332E">
        <w:t>key factors in obtaining high response rates are:</w:t>
      </w:r>
    </w:p>
    <w:p w14:paraId="0EDEB5BB" w14:textId="3FB125B8" w:rsidR="005F332E" w:rsidRDefault="005F332E" w:rsidP="005F332E">
      <w:pPr>
        <w:pStyle w:val="ListParagraph"/>
        <w:numPr>
          <w:ilvl w:val="0"/>
          <w:numId w:val="7"/>
        </w:numPr>
      </w:pPr>
      <w:r>
        <w:t xml:space="preserve">Strong </w:t>
      </w:r>
      <w:r w:rsidR="00661D1D">
        <w:t xml:space="preserve">structured </w:t>
      </w:r>
      <w:r>
        <w:t>engagement between institutional staff and local students’ unions</w:t>
      </w:r>
      <w:r w:rsidR="00661D1D">
        <w:t>;</w:t>
      </w:r>
    </w:p>
    <w:p w14:paraId="15462BD4" w14:textId="2093CE0F" w:rsidR="005F332E" w:rsidRDefault="005F332E" w:rsidP="005F332E">
      <w:pPr>
        <w:pStyle w:val="ListParagraph"/>
        <w:numPr>
          <w:ilvl w:val="0"/>
          <w:numId w:val="7"/>
        </w:numPr>
      </w:pPr>
      <w:r>
        <w:t>Co</w:t>
      </w:r>
      <w:r w:rsidR="00DE71BE">
        <w:t>-</w:t>
      </w:r>
      <w:r>
        <w:t>ordinated planning for the survey long in advance of the opening of fieldwork</w:t>
      </w:r>
      <w:r w:rsidR="00661D1D">
        <w:t xml:space="preserve"> with the best possible choice of fieldwork window;</w:t>
      </w:r>
    </w:p>
    <w:p w14:paraId="4D71C5E1" w14:textId="0B11D81C" w:rsidR="005F332E" w:rsidRDefault="005F332E" w:rsidP="005F332E">
      <w:pPr>
        <w:pStyle w:val="ListParagraph"/>
        <w:numPr>
          <w:ilvl w:val="0"/>
          <w:numId w:val="7"/>
        </w:numPr>
      </w:pPr>
      <w:r>
        <w:t>An emphasis placed on the significance of participation</w:t>
      </w:r>
      <w:r w:rsidR="00661D1D">
        <w:t xml:space="preserve"> in </w:t>
      </w:r>
      <w:r w:rsidR="00661D1D" w:rsidRPr="00661D1D">
        <w:rPr>
          <w:u w:val="single"/>
        </w:rPr>
        <w:t>Ireland’s national student engagement survey</w:t>
      </w:r>
      <w:r w:rsidR="00661D1D">
        <w:t>, with a</w:t>
      </w:r>
      <w:r>
        <w:t xml:space="preserve"> “you said, we did”</w:t>
      </w:r>
      <w:r w:rsidR="00661D1D">
        <w:t xml:space="preserve"> communications of results of the survey and consequent</w:t>
      </w:r>
      <w:r>
        <w:t xml:space="preserve"> improvements to the student experience.</w:t>
      </w:r>
      <w:r w:rsidR="00DE71BE">
        <w:t xml:space="preserve">  This </w:t>
      </w:r>
      <w:r w:rsidR="00DE71BE">
        <w:lastRenderedPageBreak/>
        <w:t>needs to be aimed both at students participating, and academic staff who can support the survey with in-class time devoted to filling out the survey.</w:t>
      </w:r>
    </w:p>
    <w:p w14:paraId="710EE2CE" w14:textId="77777777" w:rsidR="0056601D" w:rsidRDefault="0056601D"/>
    <w:p w14:paraId="0A43ACEB" w14:textId="16CC86F7" w:rsidR="00C77E50" w:rsidRDefault="00F4406F">
      <w:r>
        <w:t>This document sets out suggestions for:</w:t>
      </w:r>
    </w:p>
    <w:p w14:paraId="3C9DB641" w14:textId="4339E87D" w:rsidR="00F4406F" w:rsidRDefault="00F4406F" w:rsidP="00F4406F">
      <w:pPr>
        <w:pStyle w:val="ListParagraph"/>
        <w:numPr>
          <w:ilvl w:val="0"/>
          <w:numId w:val="10"/>
        </w:numPr>
      </w:pPr>
      <w:r>
        <w:t>Preparations in advance of fieldwork</w:t>
      </w:r>
    </w:p>
    <w:p w14:paraId="478C24FD" w14:textId="0E9B199D" w:rsidR="00F4406F" w:rsidRDefault="00F4406F" w:rsidP="00F4406F">
      <w:pPr>
        <w:pStyle w:val="ListParagraph"/>
        <w:numPr>
          <w:ilvl w:val="0"/>
          <w:numId w:val="10"/>
        </w:numPr>
      </w:pPr>
      <w:r>
        <w:t>Engagement between staff and students</w:t>
      </w:r>
    </w:p>
    <w:p w14:paraId="766F19C9" w14:textId="2C18DFAF" w:rsidR="00F4406F" w:rsidRDefault="00F4406F" w:rsidP="00F4406F">
      <w:pPr>
        <w:pStyle w:val="ListParagraph"/>
        <w:numPr>
          <w:ilvl w:val="0"/>
          <w:numId w:val="10"/>
        </w:numPr>
      </w:pPr>
      <w:r>
        <w:t>Selection of fieldwork window</w:t>
      </w:r>
    </w:p>
    <w:p w14:paraId="2095C5D7" w14:textId="4CC5EB92" w:rsidR="00F4406F" w:rsidRDefault="00F4406F" w:rsidP="00F4406F">
      <w:pPr>
        <w:pStyle w:val="ListParagraph"/>
        <w:numPr>
          <w:ilvl w:val="0"/>
          <w:numId w:val="10"/>
        </w:numPr>
      </w:pPr>
      <w:r>
        <w:t>Promotional materials</w:t>
      </w:r>
    </w:p>
    <w:p w14:paraId="5946DEAB" w14:textId="2F192D17" w:rsidR="00F4406F" w:rsidRDefault="00F4406F" w:rsidP="00F4406F">
      <w:pPr>
        <w:pStyle w:val="ListParagraph"/>
        <w:numPr>
          <w:ilvl w:val="0"/>
          <w:numId w:val="10"/>
        </w:numPr>
      </w:pPr>
      <w:r>
        <w:t>Engaging students with the survey – different approaches</w:t>
      </w:r>
    </w:p>
    <w:p w14:paraId="7EBB470A" w14:textId="05D6CB56" w:rsidR="00F4406F" w:rsidRDefault="00F4406F" w:rsidP="00F4406F">
      <w:pPr>
        <w:pStyle w:val="ListParagraph"/>
        <w:numPr>
          <w:ilvl w:val="0"/>
          <w:numId w:val="10"/>
        </w:numPr>
      </w:pPr>
      <w:r>
        <w:t>Top tips</w:t>
      </w:r>
    </w:p>
    <w:p w14:paraId="5E676393" w14:textId="77777777" w:rsidR="00F4406F" w:rsidRDefault="00F4406F" w:rsidP="0056601D">
      <w:pPr>
        <w:rPr>
          <w:b/>
          <w:bCs/>
        </w:rPr>
      </w:pPr>
    </w:p>
    <w:p w14:paraId="24F0BA06" w14:textId="1C4356D8" w:rsidR="0056601D" w:rsidRPr="00BA6A63" w:rsidRDefault="0056601D" w:rsidP="0056601D">
      <w:pPr>
        <w:rPr>
          <w:b/>
          <w:bCs/>
        </w:rPr>
      </w:pPr>
      <w:r>
        <w:rPr>
          <w:b/>
          <w:bCs/>
        </w:rPr>
        <w:t>In advance of survey fieldwork</w:t>
      </w:r>
    </w:p>
    <w:p w14:paraId="259B50B0" w14:textId="5D6597B3" w:rsidR="0056601D" w:rsidRDefault="0056601D">
      <w:r>
        <w:t xml:space="preserve">Survey fieldwork takes place over a three-week period during February and March of each year. That said, awareness of StudentSurvey.ie should be promoted at various touch points during the academic year before </w:t>
      </w:r>
      <w:r w:rsidR="00C77E50">
        <w:t>fieldwork</w:t>
      </w:r>
      <w:r>
        <w:t>.  There are opportunities to do this, which include:</w:t>
      </w:r>
    </w:p>
    <w:p w14:paraId="7CBCD67F" w14:textId="77777777" w:rsidR="004F1E57" w:rsidRDefault="0056601D" w:rsidP="0056601D">
      <w:pPr>
        <w:pStyle w:val="ListParagraph"/>
        <w:numPr>
          <w:ilvl w:val="0"/>
          <w:numId w:val="6"/>
        </w:numPr>
      </w:pPr>
      <w:r>
        <w:t>At registration/orientation</w:t>
      </w:r>
      <w:r w:rsidR="004F1E57">
        <w:t xml:space="preserve">: </w:t>
      </w:r>
    </w:p>
    <w:p w14:paraId="2EE1796A" w14:textId="4372083B" w:rsidR="0056601D" w:rsidRDefault="004F1E57" w:rsidP="004F1E57">
      <w:pPr>
        <w:pStyle w:val="ListParagraph"/>
        <w:numPr>
          <w:ilvl w:val="1"/>
          <w:numId w:val="6"/>
        </w:numPr>
      </w:pPr>
      <w:r w:rsidRPr="004F1E57">
        <w:rPr>
          <w:i/>
          <w:iCs/>
        </w:rPr>
        <w:t>Suggestion: offer HEIs flyers to distribute at orientation or other events.</w:t>
      </w:r>
      <w:r w:rsidRPr="004F1E57">
        <w:t xml:space="preserve"> </w:t>
      </w:r>
      <w:r w:rsidR="00F964D4" w:rsidRPr="00F964D4">
        <w:t>Start engagement with PGRs from Week 1 of the academic year</w:t>
      </w:r>
    </w:p>
    <w:p w14:paraId="66FCA6D9" w14:textId="68D5916D" w:rsidR="0056601D" w:rsidRDefault="0056601D" w:rsidP="0056601D">
      <w:pPr>
        <w:pStyle w:val="ListParagraph"/>
        <w:numPr>
          <w:ilvl w:val="0"/>
          <w:numId w:val="6"/>
        </w:numPr>
      </w:pPr>
      <w:r>
        <w:t>When national results are announced or when detailed institutional results become available</w:t>
      </w:r>
    </w:p>
    <w:p w14:paraId="75FA3482" w14:textId="7D347D8F" w:rsidR="0056601D" w:rsidRDefault="0056601D" w:rsidP="0056601D">
      <w:pPr>
        <w:pStyle w:val="ListParagraph"/>
        <w:numPr>
          <w:ilvl w:val="0"/>
          <w:numId w:val="6"/>
        </w:numPr>
      </w:pPr>
      <w:r>
        <w:t>Open days</w:t>
      </w:r>
    </w:p>
    <w:p w14:paraId="235DEED3" w14:textId="008DC36D" w:rsidR="0056601D" w:rsidRDefault="0056601D" w:rsidP="0056601D">
      <w:pPr>
        <w:pStyle w:val="ListParagraph"/>
        <w:numPr>
          <w:ilvl w:val="0"/>
          <w:numId w:val="6"/>
        </w:numPr>
      </w:pPr>
      <w:r>
        <w:t>Careers events</w:t>
      </w:r>
    </w:p>
    <w:p w14:paraId="627022E0" w14:textId="77777777" w:rsidR="00F964D4" w:rsidRDefault="00661D1D" w:rsidP="00F964D4">
      <w:pPr>
        <w:pStyle w:val="ListParagraph"/>
        <w:numPr>
          <w:ilvl w:val="0"/>
          <w:numId w:val="6"/>
        </w:numPr>
      </w:pPr>
      <w:r>
        <w:t xml:space="preserve">Other </w:t>
      </w:r>
      <w:proofErr w:type="gramStart"/>
      <w:r>
        <w:t>large scale</w:t>
      </w:r>
      <w:proofErr w:type="gramEnd"/>
      <w:r>
        <w:t xml:space="preserve"> conferences or on campus events</w:t>
      </w:r>
    </w:p>
    <w:p w14:paraId="1812F020" w14:textId="49B561B9" w:rsidR="00F964D4" w:rsidRDefault="00B5795A" w:rsidP="00F964D4">
      <w:pPr>
        <w:pStyle w:val="ListParagraph"/>
        <w:numPr>
          <w:ilvl w:val="0"/>
          <w:numId w:val="6"/>
        </w:numPr>
      </w:pPr>
      <w:r>
        <w:t xml:space="preserve">For PGR, </w:t>
      </w:r>
      <w:r w:rsidR="00F964D4">
        <w:t>Use Canvas modules</w:t>
      </w:r>
      <w:r>
        <w:t xml:space="preserve"> or equivalent</w:t>
      </w:r>
      <w:r w:rsidR="00F964D4">
        <w:t xml:space="preserve"> as an early communication channel</w:t>
      </w:r>
    </w:p>
    <w:p w14:paraId="034FB839" w14:textId="1BE8BB3F" w:rsidR="00F964D4" w:rsidRDefault="00B5795A" w:rsidP="00F964D4">
      <w:pPr>
        <w:pStyle w:val="ListParagraph"/>
        <w:numPr>
          <w:ilvl w:val="0"/>
          <w:numId w:val="6"/>
        </w:numPr>
      </w:pPr>
      <w:r>
        <w:t>For PGR, b</w:t>
      </w:r>
      <w:r w:rsidR="00F964D4">
        <w:t>e mindful of PhD-specific schedules when planning activity timing</w:t>
      </w:r>
    </w:p>
    <w:p w14:paraId="5335B45B" w14:textId="77777777" w:rsidR="00F964D4" w:rsidRDefault="00F964D4"/>
    <w:p w14:paraId="6C06E893" w14:textId="4C488685" w:rsidR="0056601D" w:rsidRDefault="0056601D">
      <w:pPr>
        <w:rPr>
          <w:b/>
          <w:bCs/>
        </w:rPr>
      </w:pPr>
      <w:r>
        <w:rPr>
          <w:b/>
          <w:bCs/>
        </w:rPr>
        <w:t xml:space="preserve">Engagement </w:t>
      </w:r>
      <w:r w:rsidR="00661D1D">
        <w:rPr>
          <w:b/>
          <w:bCs/>
        </w:rPr>
        <w:t>between institutional staff and</w:t>
      </w:r>
      <w:r>
        <w:rPr>
          <w:b/>
          <w:bCs/>
        </w:rPr>
        <w:t xml:space="preserve"> students</w:t>
      </w:r>
    </w:p>
    <w:p w14:paraId="7895F5DE" w14:textId="1D702024" w:rsidR="0056601D" w:rsidRDefault="0056601D">
      <w:r>
        <w:t xml:space="preserve">Engagement </w:t>
      </w:r>
      <w:r w:rsidR="00661D1D">
        <w:t>between institutional staff and</w:t>
      </w:r>
      <w:r>
        <w:t xml:space="preserve"> students should begin as early as possible in the academic year</w:t>
      </w:r>
      <w:r w:rsidR="00F4406F">
        <w:t xml:space="preserve"> and take a structured approach</w:t>
      </w:r>
      <w:r>
        <w:t>.</w:t>
      </w:r>
    </w:p>
    <w:p w14:paraId="76BEC992" w14:textId="121DBBD5" w:rsidR="00C77E50" w:rsidRDefault="00C77E50" w:rsidP="00C77E50">
      <w:pPr>
        <w:pStyle w:val="ListParagraph"/>
        <w:numPr>
          <w:ilvl w:val="0"/>
          <w:numId w:val="8"/>
        </w:numPr>
      </w:pPr>
      <w:r>
        <w:t>A structured approach to engagement with Students Unions</w:t>
      </w:r>
      <w:r w:rsidR="00661D1D">
        <w:t xml:space="preserve"> by institutional staff</w:t>
      </w:r>
      <w:r>
        <w:t xml:space="preserve"> should be put in place, particularly as new SU officers are elected.  This should include a “you said, we did” demonstration of the value and significance of StudentSurvey.ie results.</w:t>
      </w:r>
    </w:p>
    <w:p w14:paraId="4AC241CB" w14:textId="4C1EFB3E" w:rsidR="00661D1D" w:rsidRDefault="00661D1D" w:rsidP="00661D1D">
      <w:pPr>
        <w:pStyle w:val="ListParagraph"/>
        <w:numPr>
          <w:ilvl w:val="1"/>
          <w:numId w:val="8"/>
        </w:numPr>
      </w:pPr>
      <w:r>
        <w:lastRenderedPageBreak/>
        <w:t xml:space="preserve">A focus on closing the feedback loop should be kept local </w:t>
      </w:r>
      <w:proofErr w:type="gramStart"/>
      <w:r>
        <w:t>and also</w:t>
      </w:r>
      <w:proofErr w:type="gramEnd"/>
      <w:r>
        <w:t xml:space="preserve"> segmented to include different groups of students (such as part-time or mature students). </w:t>
      </w:r>
    </w:p>
    <w:p w14:paraId="39E1585B" w14:textId="27A173FF" w:rsidR="004F1E57" w:rsidRPr="004F1E57" w:rsidRDefault="004F1E57" w:rsidP="004F1E57">
      <w:pPr>
        <w:pStyle w:val="ListParagraph"/>
        <w:numPr>
          <w:ilvl w:val="2"/>
          <w:numId w:val="8"/>
        </w:numPr>
        <w:rPr>
          <w:i/>
          <w:iCs/>
        </w:rPr>
      </w:pPr>
      <w:r w:rsidRPr="004F1E57">
        <w:rPr>
          <w:i/>
          <w:iCs/>
        </w:rPr>
        <w:t>Suggestion: Supply editable infographics for this purpose.</w:t>
      </w:r>
    </w:p>
    <w:p w14:paraId="1026D83C" w14:textId="25B52731" w:rsidR="00152C9B" w:rsidRDefault="00152C9B" w:rsidP="00C77E50">
      <w:pPr>
        <w:pStyle w:val="ListParagraph"/>
        <w:numPr>
          <w:ilvl w:val="0"/>
          <w:numId w:val="8"/>
        </w:numPr>
      </w:pPr>
      <w:r>
        <w:t>Orientation is a good time to recruit student ambassadors or rep</w:t>
      </w:r>
      <w:r w:rsidR="00C77E50">
        <w:t>resentative</w:t>
      </w:r>
      <w:r>
        <w:t xml:space="preserve">s for the survey.  </w:t>
      </w:r>
      <w:r w:rsidR="00C77E50">
        <w:t>The National Student Engagement Project (</w:t>
      </w:r>
      <w:proofErr w:type="spellStart"/>
      <w:r w:rsidR="00C77E50">
        <w:t>NStEP</w:t>
      </w:r>
      <w:proofErr w:type="spellEnd"/>
      <w:r w:rsidR="00C77E50">
        <w:t xml:space="preserve">) offers </w:t>
      </w:r>
      <w:hyperlink r:id="rId9" w:history="1">
        <w:r w:rsidR="00C77E50" w:rsidRPr="0056601D">
          <w:rPr>
            <w:rStyle w:val="Hyperlink"/>
          </w:rPr>
          <w:t>a free online course</w:t>
        </w:r>
      </w:hyperlink>
      <w:r w:rsidR="00C77E50">
        <w:t xml:space="preserve"> in StudentSurvey.ie.  </w:t>
      </w:r>
      <w:r>
        <w:t>Consideration could be given to a StudentSurvey.ie ambassador award for students who take part.</w:t>
      </w:r>
    </w:p>
    <w:p w14:paraId="6954BE8F" w14:textId="3C9A56FA" w:rsidR="00F4406F" w:rsidRDefault="00F4406F" w:rsidP="00C77E50">
      <w:pPr>
        <w:pStyle w:val="ListParagraph"/>
        <w:numPr>
          <w:ilvl w:val="0"/>
          <w:numId w:val="8"/>
        </w:numPr>
      </w:pPr>
      <w:r>
        <w:t>Engagement should also take place between institutional staff with responsibility for the survey, and academic staff.</w:t>
      </w:r>
    </w:p>
    <w:p w14:paraId="267989C3" w14:textId="13370809" w:rsidR="00F964D4" w:rsidRDefault="00B5795A" w:rsidP="00F964D4">
      <w:pPr>
        <w:pStyle w:val="ListParagraph"/>
        <w:numPr>
          <w:ilvl w:val="1"/>
          <w:numId w:val="8"/>
        </w:numPr>
      </w:pPr>
      <w:r>
        <w:t xml:space="preserve">For PGR, </w:t>
      </w:r>
      <w:r w:rsidR="00F964D4">
        <w:t>Engage Vice Deans of Graduate Studies as key communication channels</w:t>
      </w:r>
    </w:p>
    <w:p w14:paraId="1FA6D37C" w14:textId="4258EF78" w:rsidR="00F964D4" w:rsidRDefault="00B5795A" w:rsidP="00F964D4">
      <w:pPr>
        <w:pStyle w:val="ListParagraph"/>
        <w:numPr>
          <w:ilvl w:val="1"/>
          <w:numId w:val="8"/>
        </w:numPr>
      </w:pPr>
      <w:r>
        <w:t>For PGR, recognise</w:t>
      </w:r>
      <w:r w:rsidR="00F964D4">
        <w:t xml:space="preserve"> tha</w:t>
      </w:r>
      <w:r>
        <w:t>t they</w:t>
      </w:r>
      <w:r w:rsidR="00F964D4">
        <w:t xml:space="preserve"> are harder to reach than UGs, requiring more targeted approaches</w:t>
      </w:r>
    </w:p>
    <w:p w14:paraId="2B198F97" w14:textId="13DD0F85" w:rsidR="00BA6A63" w:rsidRDefault="00F964D4" w:rsidP="00B5795A">
      <w:pPr>
        <w:pStyle w:val="ListParagraph"/>
        <w:numPr>
          <w:ilvl w:val="2"/>
          <w:numId w:val="8"/>
        </w:numPr>
      </w:pPr>
      <w:r>
        <w:t>Identify where PGRs spend time on campus to improve engagement</w:t>
      </w:r>
      <w:r w:rsidR="00FF704A">
        <w:t>.</w:t>
      </w:r>
    </w:p>
    <w:p w14:paraId="6746C3DF" w14:textId="77777777" w:rsidR="00F964D4" w:rsidRDefault="00F964D4" w:rsidP="00F964D4">
      <w:pPr>
        <w:pStyle w:val="ListParagraph"/>
        <w:ind w:left="1440"/>
      </w:pPr>
    </w:p>
    <w:p w14:paraId="260F2CF4" w14:textId="2559CE92" w:rsidR="00C46562" w:rsidRPr="00BA6A63" w:rsidRDefault="0056601D">
      <w:pPr>
        <w:rPr>
          <w:b/>
          <w:bCs/>
        </w:rPr>
      </w:pPr>
      <w:r>
        <w:rPr>
          <w:b/>
          <w:bCs/>
        </w:rPr>
        <w:t>Selection of f</w:t>
      </w:r>
      <w:r w:rsidR="00BA6A63">
        <w:rPr>
          <w:b/>
          <w:bCs/>
        </w:rPr>
        <w:t>ieldwork window</w:t>
      </w:r>
      <w:r w:rsidR="00C46562" w:rsidRPr="00BA6A63">
        <w:rPr>
          <w:b/>
          <w:bCs/>
        </w:rPr>
        <w:t xml:space="preserve"> </w:t>
      </w:r>
    </w:p>
    <w:p w14:paraId="1759FCD5" w14:textId="10C51E36" w:rsidR="00C46562" w:rsidRDefault="008C4BBD">
      <w:r>
        <w:t xml:space="preserve">Institutions may select a three-week fieldwork window during the period February – March.  It is generally accepted that there is no perfect time to select, and this requires balancing a range of institutional priorities.  </w:t>
      </w:r>
      <w:r w:rsidR="00C46562">
        <w:t xml:space="preserve">HEIs and </w:t>
      </w:r>
      <w:r>
        <w:t xml:space="preserve">their </w:t>
      </w:r>
      <w:r w:rsidR="00C77E50">
        <w:t>s</w:t>
      </w:r>
      <w:r w:rsidR="00C46562">
        <w:t xml:space="preserve">tudents’ </w:t>
      </w:r>
      <w:r w:rsidR="00C77E50">
        <w:t>u</w:t>
      </w:r>
      <w:r w:rsidR="00C46562">
        <w:t>nions should collaborate on the best window to pick for fieldwork.  This window should be mindful of competing priorities on campus including:</w:t>
      </w:r>
    </w:p>
    <w:p w14:paraId="7FB08218" w14:textId="632549D5" w:rsidR="00C46562" w:rsidRDefault="00C46562" w:rsidP="00C46562">
      <w:pPr>
        <w:pStyle w:val="ListParagraph"/>
        <w:numPr>
          <w:ilvl w:val="0"/>
          <w:numId w:val="1"/>
        </w:numPr>
      </w:pPr>
      <w:r>
        <w:t>Reading weeks</w:t>
      </w:r>
      <w:r w:rsidR="0056601D">
        <w:t xml:space="preserve"> and</w:t>
      </w:r>
      <w:r w:rsidR="009F22ED">
        <w:t xml:space="preserve"> R</w:t>
      </w:r>
      <w:r w:rsidR="0056601D">
        <w:t>AG</w:t>
      </w:r>
      <w:r w:rsidR="009F22ED">
        <w:t xml:space="preserve"> week</w:t>
      </w:r>
      <w:r w:rsidR="0056601D">
        <w:t>s;</w:t>
      </w:r>
    </w:p>
    <w:p w14:paraId="6BABFD5B" w14:textId="557A135E" w:rsidR="00C46562" w:rsidRDefault="008C4BBD" w:rsidP="00C46562">
      <w:pPr>
        <w:pStyle w:val="ListParagraph"/>
        <w:numPr>
          <w:ilvl w:val="0"/>
          <w:numId w:val="1"/>
        </w:numPr>
      </w:pPr>
      <w:r>
        <w:t>Off-site</w:t>
      </w:r>
      <w:r w:rsidR="00C46562">
        <w:t xml:space="preserve"> </w:t>
      </w:r>
      <w:r>
        <w:t xml:space="preserve">large scale </w:t>
      </w:r>
      <w:r w:rsidR="00C46562">
        <w:t>work experience</w:t>
      </w:r>
      <w:r>
        <w:t>;</w:t>
      </w:r>
    </w:p>
    <w:p w14:paraId="15B4F858" w14:textId="1C62AF1E" w:rsidR="00C46562" w:rsidRDefault="00C46562" w:rsidP="00C46562">
      <w:pPr>
        <w:pStyle w:val="ListParagraph"/>
        <w:numPr>
          <w:ilvl w:val="0"/>
          <w:numId w:val="1"/>
        </w:numPr>
      </w:pPr>
      <w:r>
        <w:t xml:space="preserve">Students’ </w:t>
      </w:r>
      <w:r w:rsidR="00C77E50">
        <w:t>u</w:t>
      </w:r>
      <w:r>
        <w:t>nions elections</w:t>
      </w:r>
      <w:r w:rsidR="008C4BBD">
        <w:t>;</w:t>
      </w:r>
    </w:p>
    <w:p w14:paraId="1DD0F300" w14:textId="04202AEC" w:rsidR="00C46562" w:rsidRDefault="00C46562" w:rsidP="00C46562">
      <w:pPr>
        <w:pStyle w:val="ListParagraph"/>
        <w:numPr>
          <w:ilvl w:val="0"/>
          <w:numId w:val="1"/>
        </w:numPr>
      </w:pPr>
      <w:r>
        <w:t>Other</w:t>
      </w:r>
      <w:r w:rsidR="00C77E50">
        <w:t xml:space="preserve"> concurrent</w:t>
      </w:r>
      <w:r>
        <w:t xml:space="preserve"> </w:t>
      </w:r>
      <w:r w:rsidR="008C4BBD">
        <w:t xml:space="preserve">large scale </w:t>
      </w:r>
      <w:r>
        <w:t>on-campus events</w:t>
      </w:r>
      <w:r w:rsidR="008C4BBD">
        <w:t>;</w:t>
      </w:r>
    </w:p>
    <w:p w14:paraId="24DD9242" w14:textId="77777777" w:rsidR="00C77E50" w:rsidRDefault="00C46562" w:rsidP="008C4BBD">
      <w:pPr>
        <w:pStyle w:val="ListParagraph"/>
        <w:numPr>
          <w:ilvl w:val="0"/>
          <w:numId w:val="5"/>
        </w:numPr>
      </w:pPr>
      <w:r>
        <w:t xml:space="preserve">Other surveys or initiatives </w:t>
      </w:r>
      <w:r w:rsidR="008C4BBD">
        <w:t>happening at the same time</w:t>
      </w:r>
    </w:p>
    <w:p w14:paraId="41E24917" w14:textId="18E7BF5C" w:rsidR="00F964D4" w:rsidRDefault="00FF704A" w:rsidP="008C4BBD">
      <w:pPr>
        <w:pStyle w:val="ListParagraph"/>
        <w:numPr>
          <w:ilvl w:val="0"/>
          <w:numId w:val="5"/>
        </w:numPr>
      </w:pPr>
      <w:r>
        <w:t>For PGR, c</w:t>
      </w:r>
      <w:r w:rsidR="00F964D4" w:rsidRPr="00F964D4">
        <w:t>onsider day-of-week targeting, particularly for PhD students whose schedules differ from UGs</w:t>
      </w:r>
    </w:p>
    <w:p w14:paraId="06A15A1C" w14:textId="32AAC536" w:rsidR="00C46562" w:rsidRDefault="00C77E50" w:rsidP="00C77E50">
      <w:r>
        <w:t>I</w:t>
      </w:r>
      <w:r w:rsidR="008C4BBD">
        <w:t>nstitutions might consider developing a survey policy which could timetable surveys over the course of the academic year.</w:t>
      </w:r>
    </w:p>
    <w:p w14:paraId="70FB19AB" w14:textId="77777777" w:rsidR="0056601D" w:rsidRDefault="0056601D" w:rsidP="00C46562"/>
    <w:p w14:paraId="6C48692E" w14:textId="396EACE4" w:rsidR="00C46562" w:rsidRDefault="00C46562" w:rsidP="00C46562">
      <w:r>
        <w:t xml:space="preserve">Internal </w:t>
      </w:r>
      <w:r w:rsidR="0056601D">
        <w:t xml:space="preserve">institutional </w:t>
      </w:r>
      <w:r>
        <w:t>schedules should ensure that once the StudentSurvey.ie fieldwork window has been selected, that no other competing or distracting events could undermine the choice of fieldwork window.</w:t>
      </w:r>
    </w:p>
    <w:p w14:paraId="12D9FE28" w14:textId="5FA855B0" w:rsidR="0056601D" w:rsidRDefault="0056601D" w:rsidP="008C4BBD">
      <w:pPr>
        <w:pStyle w:val="ListParagraph"/>
        <w:numPr>
          <w:ilvl w:val="0"/>
          <w:numId w:val="5"/>
        </w:numPr>
      </w:pPr>
      <w:r>
        <w:lastRenderedPageBreak/>
        <w:t>The choice of fieldwork window needs to be marked both at institutional staff level</w:t>
      </w:r>
      <w:r w:rsidR="00C77E50">
        <w:t xml:space="preserve"> (academic and support)</w:t>
      </w:r>
      <w:r>
        <w:t xml:space="preserve"> and students’ union level.</w:t>
      </w:r>
    </w:p>
    <w:p w14:paraId="1B1E1999" w14:textId="65EB66F7" w:rsidR="00BA6A63" w:rsidRDefault="00BA6A63" w:rsidP="008C4BBD">
      <w:pPr>
        <w:pStyle w:val="ListParagraph"/>
        <w:numPr>
          <w:ilvl w:val="0"/>
          <w:numId w:val="5"/>
        </w:numPr>
      </w:pPr>
      <w:r>
        <w:t>If internal digital screens need to be booked, make sure that those bookings are in place in advance of fieldwork.</w:t>
      </w:r>
    </w:p>
    <w:p w14:paraId="0A9B4A5C" w14:textId="77777777" w:rsidR="00BA6A63" w:rsidRDefault="00BA6A63" w:rsidP="00C46562"/>
    <w:p w14:paraId="3CF3A44A" w14:textId="39CD77D7" w:rsidR="0056601D" w:rsidRPr="0056601D" w:rsidRDefault="0056601D" w:rsidP="00C46562">
      <w:pPr>
        <w:rPr>
          <w:b/>
          <w:bCs/>
        </w:rPr>
      </w:pPr>
      <w:r w:rsidRPr="0056601D">
        <w:rPr>
          <w:b/>
          <w:bCs/>
        </w:rPr>
        <w:t xml:space="preserve">Physical </w:t>
      </w:r>
      <w:r>
        <w:rPr>
          <w:b/>
          <w:bCs/>
        </w:rPr>
        <w:t>promotional materials</w:t>
      </w:r>
    </w:p>
    <w:p w14:paraId="5676924D" w14:textId="77777777" w:rsidR="00661D1D" w:rsidRDefault="0056601D" w:rsidP="0056601D">
      <w:r>
        <w:t xml:space="preserve">The current branding for StudentSurvey.ie will remain in place for </w:t>
      </w:r>
      <w:proofErr w:type="gramStart"/>
      <w:r>
        <w:t>a number of</w:t>
      </w:r>
      <w:proofErr w:type="gramEnd"/>
      <w:r>
        <w:t xml:space="preserve"> years. </w:t>
      </w:r>
    </w:p>
    <w:p w14:paraId="76010164" w14:textId="77777777" w:rsidR="00661D1D" w:rsidRDefault="0056601D" w:rsidP="0056601D">
      <w:pPr>
        <w:pStyle w:val="ListParagraph"/>
        <w:numPr>
          <w:ilvl w:val="0"/>
          <w:numId w:val="9"/>
        </w:numPr>
      </w:pPr>
      <w:r>
        <w:t xml:space="preserve">The </w:t>
      </w:r>
      <w:r w:rsidR="00C77E50">
        <w:t xml:space="preserve">StudentSurvey.ie </w:t>
      </w:r>
      <w:r>
        <w:t xml:space="preserve">Team is working to ensure higher level of provision of pull-up stands over the coming years so that all campuses can receive the necessary </w:t>
      </w:r>
      <w:r w:rsidR="00C77E50">
        <w:t>number</w:t>
      </w:r>
      <w:r>
        <w:t xml:space="preserve"> of stands.</w:t>
      </w:r>
      <w:r w:rsidRPr="00BA6A63">
        <w:t xml:space="preserve"> </w:t>
      </w:r>
      <w:r>
        <w:t>These should be displayed in high-traffic or high-visibility areas where students are congregating (e.g. SU election places).</w:t>
      </w:r>
    </w:p>
    <w:p w14:paraId="4A6C141E" w14:textId="77777777" w:rsidR="00661D1D" w:rsidRDefault="0056601D" w:rsidP="0056601D">
      <w:pPr>
        <w:pStyle w:val="ListParagraph"/>
        <w:numPr>
          <w:ilvl w:val="0"/>
          <w:numId w:val="9"/>
        </w:numPr>
      </w:pPr>
      <w:r>
        <w:t xml:space="preserve">The </w:t>
      </w:r>
      <w:r w:rsidR="00661D1D">
        <w:t>T</w:t>
      </w:r>
      <w:r>
        <w:t>eam will provide HEIs with posters to increase on campus visibility of the survey.  These should be displayed in high-traffic or high-visibility areas.</w:t>
      </w:r>
    </w:p>
    <w:p w14:paraId="46EE9AC8" w14:textId="77777777" w:rsidR="00661D1D" w:rsidRDefault="00C77E50" w:rsidP="0056601D">
      <w:pPr>
        <w:pStyle w:val="ListParagraph"/>
        <w:numPr>
          <w:ilvl w:val="0"/>
          <w:numId w:val="9"/>
        </w:numPr>
      </w:pPr>
      <w:r>
        <w:t>The Team also provides physical merchandise, which is selected by the StudentSurvey.ie Communications Group.  Institutional may also supplement the available merchandise with other institutional materials to support the survey.</w:t>
      </w:r>
      <w:r w:rsidR="00661D1D">
        <w:t xml:space="preserve">  Some institutions suggest that staggering the provision of merchandise to later in the window could act as a means of boosting participation as the survey rollout continues.</w:t>
      </w:r>
    </w:p>
    <w:p w14:paraId="78BE6F98" w14:textId="6C7536A2" w:rsidR="00661D1D" w:rsidRDefault="00661D1D" w:rsidP="0056601D">
      <w:pPr>
        <w:pStyle w:val="ListParagraph"/>
        <w:numPr>
          <w:ilvl w:val="0"/>
          <w:numId w:val="9"/>
        </w:numPr>
      </w:pPr>
      <w:r>
        <w:t>The Team provides prizes from a random draw to students in the form of vouchers.  This potential to win a prize should also be communicated as a means of encouraging participation. Institutions can also supplement such prizes, with students confirming participation included in a draw locally.</w:t>
      </w:r>
    </w:p>
    <w:p w14:paraId="2CD09264" w14:textId="3E2354B3" w:rsidR="00F964D4" w:rsidRDefault="00F964D4" w:rsidP="00497952">
      <w:pPr>
        <w:pStyle w:val="ListParagraph"/>
        <w:numPr>
          <w:ilvl w:val="1"/>
          <w:numId w:val="9"/>
        </w:numPr>
      </w:pPr>
      <w:r w:rsidRPr="00F964D4">
        <w:t>Tailor</w:t>
      </w:r>
      <w:r>
        <w:t xml:space="preserve"> </w:t>
      </w:r>
      <w:r w:rsidR="00497952">
        <w:t>supplementary</w:t>
      </w:r>
      <w:r w:rsidRPr="00F964D4">
        <w:t xml:space="preserve"> prizes to PGRs using more “mature” or relevant rewards</w:t>
      </w:r>
    </w:p>
    <w:p w14:paraId="20C514D4" w14:textId="77777777" w:rsidR="0056601D" w:rsidRDefault="0056601D" w:rsidP="00C46562"/>
    <w:p w14:paraId="7262523D" w14:textId="40F9D137" w:rsidR="0056601D" w:rsidRPr="0056601D" w:rsidRDefault="0056601D" w:rsidP="00BA6A63">
      <w:pPr>
        <w:rPr>
          <w:b/>
          <w:bCs/>
        </w:rPr>
      </w:pPr>
      <w:r>
        <w:rPr>
          <w:b/>
          <w:bCs/>
        </w:rPr>
        <w:t>Digital promotional materials</w:t>
      </w:r>
    </w:p>
    <w:p w14:paraId="7EAE8564" w14:textId="1F64A032" w:rsidR="00BA6A63" w:rsidRDefault="00BA6A63" w:rsidP="00BA6A63">
      <w:r>
        <w:t xml:space="preserve">Branded assets are </w:t>
      </w:r>
      <w:proofErr w:type="gramStart"/>
      <w:r>
        <w:t>available</w:t>
      </w:r>
      <w:proofErr w:type="gramEnd"/>
      <w:r>
        <w:t xml:space="preserve"> but institutions may prefer to create their own resources.  </w:t>
      </w:r>
    </w:p>
    <w:p w14:paraId="421C9694" w14:textId="5CB74A69" w:rsidR="00BA6A63" w:rsidRDefault="00BA6A63" w:rsidP="00BA6A63">
      <w:pPr>
        <w:pStyle w:val="ListParagraph"/>
        <w:numPr>
          <w:ilvl w:val="0"/>
          <w:numId w:val="4"/>
        </w:numPr>
      </w:pPr>
      <w:r>
        <w:t xml:space="preserve">There should be regard to the reach and format of different social media platforms. </w:t>
      </w:r>
    </w:p>
    <w:p w14:paraId="7838A66C" w14:textId="6752B8A3" w:rsidR="00BA6A63" w:rsidRDefault="00BA6A63" w:rsidP="00BA6A63">
      <w:pPr>
        <w:pStyle w:val="ListParagraph"/>
        <w:numPr>
          <w:ilvl w:val="0"/>
          <w:numId w:val="2"/>
        </w:numPr>
      </w:pPr>
      <w:r>
        <w:t>Student ambassadors or campus champions could be requested to make videos (particularly for platforms such as TikTok) using recognisable on campus locations.</w:t>
      </w:r>
    </w:p>
    <w:p w14:paraId="0E22ACF6" w14:textId="32F97F63" w:rsidR="00661D1D" w:rsidRDefault="00661D1D" w:rsidP="00BA6A63">
      <w:pPr>
        <w:pStyle w:val="ListParagraph"/>
        <w:numPr>
          <w:ilvl w:val="0"/>
          <w:numId w:val="2"/>
        </w:numPr>
      </w:pPr>
      <w:r>
        <w:t xml:space="preserve">Digital screens on campus can be used to promote the </w:t>
      </w:r>
      <w:proofErr w:type="gramStart"/>
      <w:r>
        <w:t>survey</w:t>
      </w:r>
      <w:proofErr w:type="gramEnd"/>
      <w:r>
        <w:t xml:space="preserve"> and the Team can provide materials in the sizes required.</w:t>
      </w:r>
    </w:p>
    <w:p w14:paraId="02E9B96A" w14:textId="7E6E6ADA" w:rsidR="00366516" w:rsidRDefault="008A47D1" w:rsidP="00366516">
      <w:pPr>
        <w:pStyle w:val="ListParagraph"/>
        <w:numPr>
          <w:ilvl w:val="0"/>
          <w:numId w:val="2"/>
        </w:numPr>
      </w:pPr>
      <w:r>
        <w:t>Circulate</w:t>
      </w:r>
      <w:r w:rsidR="00366516" w:rsidRPr="00366516">
        <w:t xml:space="preserve"> photographs of </w:t>
      </w:r>
      <w:r w:rsidR="00366516">
        <w:t xml:space="preserve">winners and </w:t>
      </w:r>
      <w:r w:rsidR="00366516" w:rsidRPr="00366516">
        <w:t>prizes to increase engagement and visibility</w:t>
      </w:r>
      <w:r w:rsidR="00366516">
        <w:t>.</w:t>
      </w:r>
    </w:p>
    <w:p w14:paraId="1A129889" w14:textId="0580DB02" w:rsidR="00BA6A63" w:rsidRDefault="0056601D" w:rsidP="00BA6A63">
      <w:r>
        <w:lastRenderedPageBreak/>
        <w:t xml:space="preserve">A social media campaign will also be </w:t>
      </w:r>
      <w:r w:rsidR="00C77E50">
        <w:t>rolled</w:t>
      </w:r>
      <w:r>
        <w:t xml:space="preserve"> out centrally by the StudentSurvey.ie Team.  Institutions and students’ unions are requested to accept collaboration requests on social media channels.</w:t>
      </w:r>
    </w:p>
    <w:p w14:paraId="36C802A1" w14:textId="77777777" w:rsidR="00C77E50" w:rsidRDefault="00C77E50" w:rsidP="00BA6A63">
      <w:pPr>
        <w:rPr>
          <w:b/>
          <w:bCs/>
        </w:rPr>
      </w:pPr>
    </w:p>
    <w:p w14:paraId="2521CCBD" w14:textId="3B5E96B2" w:rsidR="005F332E" w:rsidRDefault="0056601D" w:rsidP="00BA6A63">
      <w:pPr>
        <w:rPr>
          <w:b/>
          <w:bCs/>
        </w:rPr>
      </w:pPr>
      <w:r>
        <w:rPr>
          <w:b/>
          <w:bCs/>
        </w:rPr>
        <w:t>During fieldwork</w:t>
      </w:r>
      <w:r w:rsidR="005F332E">
        <w:rPr>
          <w:b/>
          <w:bCs/>
        </w:rPr>
        <w:t xml:space="preserve"> – how to engage students with the survey</w:t>
      </w:r>
    </w:p>
    <w:p w14:paraId="209F9183" w14:textId="79D82C03" w:rsidR="005F332E" w:rsidRDefault="005F332E" w:rsidP="00BA6A63">
      <w:r>
        <w:t>A variety of methods should be used to ensure engagement with the survey.</w:t>
      </w:r>
    </w:p>
    <w:p w14:paraId="03B6B3D8" w14:textId="77777777" w:rsidR="005F332E" w:rsidRDefault="005F332E" w:rsidP="00BA6A63"/>
    <w:p w14:paraId="04AA0DD9" w14:textId="35B80074" w:rsidR="005F332E" w:rsidRDefault="005F332E" w:rsidP="00BA6A63">
      <w:pPr>
        <w:rPr>
          <w:i/>
          <w:iCs/>
        </w:rPr>
      </w:pPr>
      <w:r>
        <w:rPr>
          <w:i/>
          <w:iCs/>
        </w:rPr>
        <w:t>Email communication</w:t>
      </w:r>
    </w:p>
    <w:p w14:paraId="771936D3" w14:textId="1D593284" w:rsidR="00875077" w:rsidRPr="00875077" w:rsidRDefault="005F332E" w:rsidP="00BA6A63">
      <w:pPr>
        <w:rPr>
          <w:i/>
          <w:iCs/>
        </w:rPr>
      </w:pPr>
      <w:r>
        <w:t xml:space="preserve">There will be centrally issued emails (via the survey contractor) to students over the course of the fieldwork window.  </w:t>
      </w:r>
      <w:r w:rsidR="004F1E57" w:rsidRPr="004F1E57">
        <w:rPr>
          <w:i/>
          <w:iCs/>
        </w:rPr>
        <w:t xml:space="preserve">Suggestion: </w:t>
      </w:r>
      <w:r w:rsidRPr="004F1E57">
        <w:rPr>
          <w:i/>
          <w:iCs/>
        </w:rPr>
        <w:t>The survey contractor will provide HEIs with the days and times of these reminders so that on campus / in class activities can be coordinated with these emails.</w:t>
      </w:r>
    </w:p>
    <w:p w14:paraId="06F38115" w14:textId="05697D3C" w:rsidR="00C77E50" w:rsidRPr="00C77E50" w:rsidRDefault="00C77E50" w:rsidP="00BA6A63">
      <w:r>
        <w:t>Institutions can also send reminder emails e.g. from the President or Registrar encouraging students to take part in the survey.  Course lecturers could also be requested to communicate the importance of the survey via email to their students.</w:t>
      </w:r>
    </w:p>
    <w:p w14:paraId="1D167789" w14:textId="77777777" w:rsidR="00C77E50" w:rsidRDefault="00C77E50" w:rsidP="00BA6A63">
      <w:pPr>
        <w:rPr>
          <w:b/>
          <w:bCs/>
        </w:rPr>
      </w:pPr>
    </w:p>
    <w:p w14:paraId="29FE304D" w14:textId="29B8917B" w:rsidR="005F332E" w:rsidRDefault="005F332E" w:rsidP="00BA6A63">
      <w:pPr>
        <w:rPr>
          <w:b/>
          <w:bCs/>
          <w:i/>
          <w:iCs/>
        </w:rPr>
      </w:pPr>
      <w:r>
        <w:rPr>
          <w:b/>
          <w:bCs/>
          <w:i/>
          <w:iCs/>
        </w:rPr>
        <w:t>Social media communication</w:t>
      </w:r>
    </w:p>
    <w:p w14:paraId="4DDD0A96" w14:textId="2ABA2E56" w:rsidR="005F332E" w:rsidRDefault="005F332E" w:rsidP="00BA6A63">
      <w:r>
        <w:t xml:space="preserve">Students’ unions </w:t>
      </w:r>
      <w:proofErr w:type="gramStart"/>
      <w:r>
        <w:t>in particular have</w:t>
      </w:r>
      <w:proofErr w:type="gramEnd"/>
      <w:r>
        <w:t xml:space="preserve"> the ability to reach students via social media.  Institutional staff and students’ unions should </w:t>
      </w:r>
      <w:r w:rsidR="00661D1D">
        <w:t>jointly consider</w:t>
      </w:r>
      <w:r>
        <w:t xml:space="preserve"> the social media channels that will have the largest reach with their student body.</w:t>
      </w:r>
    </w:p>
    <w:p w14:paraId="7ED357DA" w14:textId="30AB9D3A" w:rsidR="005F332E" w:rsidRPr="005F332E" w:rsidRDefault="005F332E" w:rsidP="00BA6A63">
      <w:r>
        <w:t>Personalised videos work well, with shots of students or the campus.  Students’ unions could act as champions for the survey on social media.</w:t>
      </w:r>
    </w:p>
    <w:p w14:paraId="697033CB" w14:textId="77777777" w:rsidR="005F332E" w:rsidRDefault="005F332E" w:rsidP="00BA6A63">
      <w:pPr>
        <w:rPr>
          <w:b/>
          <w:bCs/>
        </w:rPr>
      </w:pPr>
    </w:p>
    <w:p w14:paraId="5B60A99B" w14:textId="3A695EE6" w:rsidR="00BA6A63" w:rsidRPr="005F332E" w:rsidRDefault="005F332E" w:rsidP="00BA6A63">
      <w:pPr>
        <w:rPr>
          <w:b/>
          <w:bCs/>
          <w:i/>
          <w:iCs/>
        </w:rPr>
      </w:pPr>
      <w:r w:rsidRPr="005F332E">
        <w:rPr>
          <w:b/>
          <w:bCs/>
          <w:i/>
          <w:iCs/>
        </w:rPr>
        <w:t>E</w:t>
      </w:r>
      <w:r w:rsidR="00BA6A63" w:rsidRPr="005F332E">
        <w:rPr>
          <w:b/>
          <w:bCs/>
          <w:i/>
          <w:iCs/>
        </w:rPr>
        <w:t xml:space="preserve">ngaging students in person </w:t>
      </w:r>
      <w:r w:rsidRPr="005F332E">
        <w:rPr>
          <w:b/>
          <w:bCs/>
          <w:i/>
          <w:iCs/>
        </w:rPr>
        <w:t xml:space="preserve">/ </w:t>
      </w:r>
      <w:r w:rsidR="00BA6A63" w:rsidRPr="005F332E">
        <w:rPr>
          <w:b/>
          <w:bCs/>
          <w:i/>
          <w:iCs/>
        </w:rPr>
        <w:t>on campus</w:t>
      </w:r>
    </w:p>
    <w:p w14:paraId="068E2A1A" w14:textId="25E87C4C" w:rsidR="005F332E" w:rsidRDefault="005F332E" w:rsidP="00BA6A63">
      <w:r>
        <w:t>Most institutions consider that in person contact with students is vital in ensuring good response rates.  Asking lecturers to give up a portion of their class (particularly if they host larger classes) can be a successful method in ensuring that students fill out the survey.</w:t>
      </w:r>
    </w:p>
    <w:p w14:paraId="3662D238" w14:textId="0D281E9D" w:rsidR="005F332E" w:rsidRDefault="005F332E" w:rsidP="00BA6A63">
      <w:r>
        <w:t>Some tips for encouraging students to participate in the survey include:</w:t>
      </w:r>
    </w:p>
    <w:p w14:paraId="5700886D" w14:textId="77777777" w:rsidR="005F332E" w:rsidRDefault="005F332E" w:rsidP="005F332E">
      <w:pPr>
        <w:pStyle w:val="ListParagraph"/>
        <w:numPr>
          <w:ilvl w:val="0"/>
          <w:numId w:val="2"/>
        </w:numPr>
      </w:pPr>
      <w:r>
        <w:t>Consider a survey day or survey hour to boost awareness and participation</w:t>
      </w:r>
    </w:p>
    <w:p w14:paraId="79448A29" w14:textId="21221A5E" w:rsidR="005F332E" w:rsidRDefault="005F332E" w:rsidP="005F332E">
      <w:pPr>
        <w:pStyle w:val="ListParagraph"/>
        <w:numPr>
          <w:ilvl w:val="0"/>
          <w:numId w:val="2"/>
        </w:numPr>
      </w:pPr>
      <w:r>
        <w:t>Leaderboards of response rates by faculty could also act as an incentive to academic staff to boost participation.  A prize could be given to the faculty with the highest weekly response rate.</w:t>
      </w:r>
    </w:p>
    <w:p w14:paraId="7F45CEC7" w14:textId="40226305" w:rsidR="00875077" w:rsidRDefault="00875077" w:rsidP="005F332E">
      <w:pPr>
        <w:pStyle w:val="ListParagraph"/>
        <w:numPr>
          <w:ilvl w:val="0"/>
          <w:numId w:val="2"/>
        </w:numPr>
      </w:pPr>
      <w:r w:rsidRPr="00875077">
        <w:lastRenderedPageBreak/>
        <w:t>Piggyback on existing SU events (e.g. coffee mornings, meetups)</w:t>
      </w:r>
    </w:p>
    <w:p w14:paraId="101400FF" w14:textId="00A51375" w:rsidR="00875077" w:rsidRDefault="00875077" w:rsidP="005F332E">
      <w:pPr>
        <w:pStyle w:val="ListParagraph"/>
        <w:numPr>
          <w:ilvl w:val="0"/>
          <w:numId w:val="2"/>
        </w:numPr>
      </w:pPr>
      <w:r w:rsidRPr="00875077">
        <w:t xml:space="preserve">Collaborate with other </w:t>
      </w:r>
      <w:r w:rsidR="00730749">
        <w:t>departments/</w:t>
      </w:r>
      <w:r w:rsidRPr="00875077">
        <w:t>offices and events</w:t>
      </w:r>
      <w:r w:rsidR="00730749">
        <w:t>.</w:t>
      </w:r>
    </w:p>
    <w:p w14:paraId="2B57811A" w14:textId="77777777" w:rsidR="005F332E" w:rsidRDefault="005F332E" w:rsidP="00BA6A63"/>
    <w:p w14:paraId="33850FE3" w14:textId="1C9B22A6" w:rsidR="005F332E" w:rsidRPr="005F332E" w:rsidRDefault="005F332E" w:rsidP="00BA6A63">
      <w:r>
        <w:t>In terms of in-class engagement</w:t>
      </w:r>
    </w:p>
    <w:p w14:paraId="2378A071" w14:textId="3C46BDF3" w:rsidR="00BA6A63" w:rsidRDefault="00BA6A63" w:rsidP="00BA6A63">
      <w:pPr>
        <w:pStyle w:val="ListParagraph"/>
        <w:numPr>
          <w:ilvl w:val="0"/>
          <w:numId w:val="2"/>
        </w:numPr>
      </w:pPr>
      <w:r>
        <w:t>QR codes can be displayed on screen at the start of class</w:t>
      </w:r>
    </w:p>
    <w:p w14:paraId="5C8CC4C9" w14:textId="2A2A32C1" w:rsidR="00BA6A63" w:rsidRDefault="00BA6A63" w:rsidP="00BA6A63">
      <w:pPr>
        <w:pStyle w:val="ListParagraph"/>
        <w:numPr>
          <w:ilvl w:val="0"/>
          <w:numId w:val="2"/>
        </w:numPr>
      </w:pPr>
      <w:r>
        <w:t>Send emails to tutors to ask for the class to be given 10 minutes to fill out the survey. This works best in large classes as it maximises the reach of the survey.  Establish good relationship with tutors to build the relationship on the survey.  Include findings from the most recent survey that they can use to encourage participation.</w:t>
      </w:r>
      <w:r w:rsidR="00C77E50">
        <w:t xml:space="preserve">  Institutions could identify a “survey day” or “survey hour” in </w:t>
      </w:r>
    </w:p>
    <w:p w14:paraId="67DB5FB4" w14:textId="77777777" w:rsidR="005F332E" w:rsidRDefault="005F332E" w:rsidP="005F332E"/>
    <w:p w14:paraId="1E90F6E9" w14:textId="00CC9B2F" w:rsidR="005F332E" w:rsidRDefault="005F332E" w:rsidP="005F332E">
      <w:r>
        <w:t>Pull-up stands can also be placed common areas of the campus:</w:t>
      </w:r>
    </w:p>
    <w:p w14:paraId="34ECBC82" w14:textId="1D279724" w:rsidR="005F332E" w:rsidRDefault="005F332E" w:rsidP="00BA6A63">
      <w:pPr>
        <w:pStyle w:val="ListParagraph"/>
        <w:numPr>
          <w:ilvl w:val="0"/>
          <w:numId w:val="2"/>
        </w:numPr>
      </w:pPr>
      <w:r>
        <w:t>QR codes can be printed and placed on canteen/cafeteria tables.</w:t>
      </w:r>
    </w:p>
    <w:p w14:paraId="3006B040" w14:textId="446A1677" w:rsidR="005F332E" w:rsidRDefault="005F332E" w:rsidP="00BA6A63">
      <w:pPr>
        <w:pStyle w:val="ListParagraph"/>
        <w:numPr>
          <w:ilvl w:val="0"/>
          <w:numId w:val="2"/>
        </w:numPr>
      </w:pPr>
      <w:r>
        <w:t>Inexpensive incentives such as cakes, lollipops etc can be used to draw students to the survey at a stand.</w:t>
      </w:r>
    </w:p>
    <w:p w14:paraId="1176F4D6" w14:textId="316D59AB" w:rsidR="00BA6A63" w:rsidRDefault="00BA6A63" w:rsidP="00BA6A63">
      <w:pPr>
        <w:pStyle w:val="ListParagraph"/>
        <w:numPr>
          <w:ilvl w:val="0"/>
          <w:numId w:val="2"/>
        </w:numPr>
      </w:pPr>
      <w:r>
        <w:t xml:space="preserve">Consider a spin the wheel prize </w:t>
      </w:r>
      <w:r w:rsidR="00C77E50">
        <w:t>at areas where pull-up stands are placed.</w:t>
      </w:r>
    </w:p>
    <w:p w14:paraId="7377BBD5" w14:textId="77777777" w:rsidR="005F332E" w:rsidRDefault="005F332E" w:rsidP="00274A46">
      <w:pPr>
        <w:rPr>
          <w:b/>
          <w:bCs/>
        </w:rPr>
      </w:pPr>
    </w:p>
    <w:p w14:paraId="23D0A864" w14:textId="093FE480" w:rsidR="00F4406F" w:rsidRPr="00F4406F" w:rsidRDefault="00F4406F" w:rsidP="00274A46">
      <w:r w:rsidRPr="00F4406F">
        <w:t>Institutions could also offer a donation per student to their Student Assistance Fund for participation.</w:t>
      </w:r>
    </w:p>
    <w:p w14:paraId="3C65E116" w14:textId="77777777" w:rsidR="00F4406F" w:rsidRDefault="00F4406F" w:rsidP="00274A46">
      <w:pPr>
        <w:rPr>
          <w:b/>
          <w:bCs/>
        </w:rPr>
      </w:pPr>
    </w:p>
    <w:p w14:paraId="253F6369" w14:textId="63464F8C" w:rsidR="00274A46" w:rsidRPr="00274A46" w:rsidRDefault="00D1523D" w:rsidP="00274A46">
      <w:pPr>
        <w:rPr>
          <w:b/>
          <w:bCs/>
        </w:rPr>
      </w:pPr>
      <w:r>
        <w:rPr>
          <w:b/>
          <w:bCs/>
        </w:rPr>
        <w:t>Top tips</w:t>
      </w:r>
      <w:r w:rsidR="00274A46" w:rsidRPr="00274A46">
        <w:rPr>
          <w:b/>
          <w:bCs/>
        </w:rPr>
        <w:t xml:space="preserve"> for Promoting StudentSurvey.ie</w:t>
      </w:r>
      <w:r w:rsidR="0035318B">
        <w:rPr>
          <w:rStyle w:val="FootnoteReference"/>
          <w:b/>
          <w:bCs/>
        </w:rPr>
        <w:footnoteReference w:id="1"/>
      </w:r>
    </w:p>
    <w:p w14:paraId="0BD5892A" w14:textId="77777777" w:rsidR="00274A46" w:rsidRDefault="00274A46" w:rsidP="00274A46">
      <w:r>
        <w:t>1. Do lecture shout-outs and enable in-lecture completion.</w:t>
      </w:r>
    </w:p>
    <w:p w14:paraId="19FBD7D1" w14:textId="77777777" w:rsidR="00274A46" w:rsidRDefault="00274A46" w:rsidP="00274A46">
      <w:r>
        <w:t>2. Set up pop-up survey stands with devices for on-the-spot participation.</w:t>
      </w:r>
    </w:p>
    <w:p w14:paraId="6D93324F" w14:textId="77777777" w:rsidR="00274A46" w:rsidRDefault="00274A46" w:rsidP="00274A46">
      <w:r>
        <w:t>3. Offer small but appealing incentives (coffee vouchers, donation per completion, prize draws).</w:t>
      </w:r>
    </w:p>
    <w:p w14:paraId="42FDE22E" w14:textId="77777777" w:rsidR="00274A46" w:rsidRDefault="00274A46" w:rsidP="00274A46">
      <w:r>
        <w:t>4. Collaborate closely with the Students’ Union and student ambassadors.</w:t>
      </w:r>
    </w:p>
    <w:p w14:paraId="20DAE4B1" w14:textId="77777777" w:rsidR="00274A46" w:rsidRDefault="00274A46" w:rsidP="00274A46">
      <w:r>
        <w:t>5. Run a strong, consistent social media campaign with daily updates.</w:t>
      </w:r>
    </w:p>
    <w:p w14:paraId="088415F3" w14:textId="77777777" w:rsidR="00274A46" w:rsidRDefault="00274A46" w:rsidP="00274A46">
      <w:r>
        <w:t>6. Use 'You Said, We Did' impact messaging to show results.</w:t>
      </w:r>
    </w:p>
    <w:p w14:paraId="4E4AAEDE" w14:textId="77777777" w:rsidR="00274A46" w:rsidRDefault="00274A46" w:rsidP="00274A46">
      <w:r>
        <w:t>7. Target students in high-traffic locations and campus events.</w:t>
      </w:r>
    </w:p>
    <w:p w14:paraId="22235F34" w14:textId="77777777" w:rsidR="00274A46" w:rsidRDefault="00274A46" w:rsidP="00274A46">
      <w:r>
        <w:t>8. Provide weekly departmental response-rate updates to spark friendly competition.</w:t>
      </w:r>
    </w:p>
    <w:p w14:paraId="42081E97" w14:textId="77777777" w:rsidR="00274A46" w:rsidRDefault="00274A46" w:rsidP="00274A46">
      <w:r>
        <w:lastRenderedPageBreak/>
        <w:t>9. Collaborate regionally with nearby institutions for joint visibility.</w:t>
      </w:r>
    </w:p>
    <w:p w14:paraId="4C8A5262" w14:textId="2B78E322" w:rsidR="00274A46" w:rsidRDefault="00274A46" w:rsidP="00274A46">
      <w:r>
        <w:t>10. Refresh the campaign with a new headline feature or creative hook.</w:t>
      </w:r>
    </w:p>
    <w:p w14:paraId="645FF92D" w14:textId="77777777" w:rsidR="00274A46" w:rsidRPr="00BA6A63" w:rsidRDefault="00274A46" w:rsidP="00274A46"/>
    <w:sectPr w:rsidR="00274A46" w:rsidRPr="00BA6A6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21DC6" w14:textId="77777777" w:rsidR="00A441EB" w:rsidRDefault="00A441EB" w:rsidP="0035318B">
      <w:pPr>
        <w:spacing w:after="0" w:line="240" w:lineRule="auto"/>
      </w:pPr>
      <w:r>
        <w:separator/>
      </w:r>
    </w:p>
  </w:endnote>
  <w:endnote w:type="continuationSeparator" w:id="0">
    <w:p w14:paraId="6B18332F" w14:textId="77777777" w:rsidR="00A441EB" w:rsidRDefault="00A441EB" w:rsidP="00353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249231"/>
      <w:docPartObj>
        <w:docPartGallery w:val="Page Numbers (Bottom of Page)"/>
        <w:docPartUnique/>
      </w:docPartObj>
    </w:sdtPr>
    <w:sdtEndPr>
      <w:rPr>
        <w:noProof/>
      </w:rPr>
    </w:sdtEndPr>
    <w:sdtContent>
      <w:p w14:paraId="0B119597" w14:textId="10145DBF" w:rsidR="00A81F80" w:rsidRDefault="00A81F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74C04B" w14:textId="77777777" w:rsidR="00A81F80" w:rsidRDefault="00A81F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90C2E" w14:textId="77777777" w:rsidR="00A441EB" w:rsidRDefault="00A441EB" w:rsidP="0035318B">
      <w:pPr>
        <w:spacing w:after="0" w:line="240" w:lineRule="auto"/>
      </w:pPr>
      <w:r>
        <w:separator/>
      </w:r>
    </w:p>
  </w:footnote>
  <w:footnote w:type="continuationSeparator" w:id="0">
    <w:p w14:paraId="1C0CC00E" w14:textId="77777777" w:rsidR="00A441EB" w:rsidRDefault="00A441EB" w:rsidP="0035318B">
      <w:pPr>
        <w:spacing w:after="0" w:line="240" w:lineRule="auto"/>
      </w:pPr>
      <w:r>
        <w:continuationSeparator/>
      </w:r>
    </w:p>
  </w:footnote>
  <w:footnote w:id="1">
    <w:p w14:paraId="0183ACFD" w14:textId="74FF63AE" w:rsidR="0035318B" w:rsidRPr="0035318B" w:rsidRDefault="0035318B">
      <w:pPr>
        <w:pStyle w:val="FootnoteText"/>
        <w:rPr>
          <w:lang w:val="en-US"/>
        </w:rPr>
      </w:pPr>
      <w:r>
        <w:rPr>
          <w:rStyle w:val="FootnoteReference"/>
        </w:rPr>
        <w:footnoteRef/>
      </w:r>
      <w:r>
        <w:t xml:space="preserve"> List </w:t>
      </w:r>
      <w:r>
        <w:rPr>
          <w:lang w:val="en-US"/>
        </w:rPr>
        <w:t>Generated by AI after summarizing https://studentsurvey.ie/good-ideas-promotion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A9813" w14:textId="16DD2BD9" w:rsidR="007C0057" w:rsidRPr="007C0057" w:rsidRDefault="007C0057" w:rsidP="007C0057">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5A67"/>
    <w:multiLevelType w:val="hybridMultilevel"/>
    <w:tmpl w:val="A30C8C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6614085"/>
    <w:multiLevelType w:val="hybridMultilevel"/>
    <w:tmpl w:val="F0D4B2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D1152CE"/>
    <w:multiLevelType w:val="hybridMultilevel"/>
    <w:tmpl w:val="DD4AF0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1B67501"/>
    <w:multiLevelType w:val="hybridMultilevel"/>
    <w:tmpl w:val="03B4908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3FE6188"/>
    <w:multiLevelType w:val="hybridMultilevel"/>
    <w:tmpl w:val="B30E9A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FB53539"/>
    <w:multiLevelType w:val="hybridMultilevel"/>
    <w:tmpl w:val="1CE871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D7D0B58"/>
    <w:multiLevelType w:val="hybridMultilevel"/>
    <w:tmpl w:val="E2A8F6C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74A0D36"/>
    <w:multiLevelType w:val="hybridMultilevel"/>
    <w:tmpl w:val="15666A1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DEF5CD9"/>
    <w:multiLevelType w:val="hybridMultilevel"/>
    <w:tmpl w:val="94948D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48F55D5"/>
    <w:multiLevelType w:val="hybridMultilevel"/>
    <w:tmpl w:val="3F02A9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700109C"/>
    <w:multiLevelType w:val="hybridMultilevel"/>
    <w:tmpl w:val="B4B298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30175309">
    <w:abstractNumId w:val="10"/>
  </w:num>
  <w:num w:numId="2" w16cid:durableId="2048329991">
    <w:abstractNumId w:val="0"/>
  </w:num>
  <w:num w:numId="3" w16cid:durableId="1378436832">
    <w:abstractNumId w:val="5"/>
  </w:num>
  <w:num w:numId="4" w16cid:durableId="866675253">
    <w:abstractNumId w:val="4"/>
  </w:num>
  <w:num w:numId="5" w16cid:durableId="2133550469">
    <w:abstractNumId w:val="8"/>
  </w:num>
  <w:num w:numId="6" w16cid:durableId="1822503275">
    <w:abstractNumId w:val="3"/>
  </w:num>
  <w:num w:numId="7" w16cid:durableId="568076633">
    <w:abstractNumId w:val="9"/>
  </w:num>
  <w:num w:numId="8" w16cid:durableId="782765792">
    <w:abstractNumId w:val="6"/>
  </w:num>
  <w:num w:numId="9" w16cid:durableId="1541043610">
    <w:abstractNumId w:val="7"/>
  </w:num>
  <w:num w:numId="10" w16cid:durableId="1735355790">
    <w:abstractNumId w:val="2"/>
  </w:num>
  <w:num w:numId="11" w16cid:durableId="32535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62"/>
    <w:rsid w:val="000F6AEC"/>
    <w:rsid w:val="00152C9B"/>
    <w:rsid w:val="00221F2D"/>
    <w:rsid w:val="00274A46"/>
    <w:rsid w:val="00274C4B"/>
    <w:rsid w:val="002A002D"/>
    <w:rsid w:val="00333B51"/>
    <w:rsid w:val="0035318B"/>
    <w:rsid w:val="00366516"/>
    <w:rsid w:val="00366A6D"/>
    <w:rsid w:val="00382FF3"/>
    <w:rsid w:val="00386CBF"/>
    <w:rsid w:val="00482F2A"/>
    <w:rsid w:val="00497952"/>
    <w:rsid w:val="004A21ED"/>
    <w:rsid w:val="004F1E57"/>
    <w:rsid w:val="0056601D"/>
    <w:rsid w:val="005C14BE"/>
    <w:rsid w:val="005F332E"/>
    <w:rsid w:val="00661D1D"/>
    <w:rsid w:val="006C4EF0"/>
    <w:rsid w:val="00730749"/>
    <w:rsid w:val="007C0057"/>
    <w:rsid w:val="00875077"/>
    <w:rsid w:val="008A47D1"/>
    <w:rsid w:val="008C4BBD"/>
    <w:rsid w:val="0092327A"/>
    <w:rsid w:val="009F22ED"/>
    <w:rsid w:val="00A300F3"/>
    <w:rsid w:val="00A441EB"/>
    <w:rsid w:val="00A553A5"/>
    <w:rsid w:val="00A81F80"/>
    <w:rsid w:val="00AC09EF"/>
    <w:rsid w:val="00B5795A"/>
    <w:rsid w:val="00BA6A63"/>
    <w:rsid w:val="00BD47A3"/>
    <w:rsid w:val="00C46562"/>
    <w:rsid w:val="00C77E50"/>
    <w:rsid w:val="00CA0E80"/>
    <w:rsid w:val="00CB74DD"/>
    <w:rsid w:val="00CC2200"/>
    <w:rsid w:val="00D1523D"/>
    <w:rsid w:val="00DC6B3C"/>
    <w:rsid w:val="00DE71BE"/>
    <w:rsid w:val="00EC01E8"/>
    <w:rsid w:val="00EE018B"/>
    <w:rsid w:val="00F206DC"/>
    <w:rsid w:val="00F4406F"/>
    <w:rsid w:val="00F964D4"/>
    <w:rsid w:val="00FF704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00B80"/>
  <w15:chartTrackingRefBased/>
  <w15:docId w15:val="{C94953B1-4D59-4CF9-B028-9949A377E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5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65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65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65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65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65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65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65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65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5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65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65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65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65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65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65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65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6562"/>
    <w:rPr>
      <w:rFonts w:eastAsiaTheme="majorEastAsia" w:cstheme="majorBidi"/>
      <w:color w:val="272727" w:themeColor="text1" w:themeTint="D8"/>
    </w:rPr>
  </w:style>
  <w:style w:type="paragraph" w:styleId="Title">
    <w:name w:val="Title"/>
    <w:basedOn w:val="Normal"/>
    <w:next w:val="Normal"/>
    <w:link w:val="TitleChar"/>
    <w:uiPriority w:val="10"/>
    <w:qFormat/>
    <w:rsid w:val="00C465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5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5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65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562"/>
    <w:pPr>
      <w:spacing w:before="160"/>
      <w:jc w:val="center"/>
    </w:pPr>
    <w:rPr>
      <w:i/>
      <w:iCs/>
      <w:color w:val="404040" w:themeColor="text1" w:themeTint="BF"/>
    </w:rPr>
  </w:style>
  <w:style w:type="character" w:customStyle="1" w:styleId="QuoteChar">
    <w:name w:val="Quote Char"/>
    <w:basedOn w:val="DefaultParagraphFont"/>
    <w:link w:val="Quote"/>
    <w:uiPriority w:val="29"/>
    <w:rsid w:val="00C46562"/>
    <w:rPr>
      <w:i/>
      <w:iCs/>
      <w:color w:val="404040" w:themeColor="text1" w:themeTint="BF"/>
    </w:rPr>
  </w:style>
  <w:style w:type="paragraph" w:styleId="ListParagraph">
    <w:name w:val="List Paragraph"/>
    <w:basedOn w:val="Normal"/>
    <w:uiPriority w:val="34"/>
    <w:qFormat/>
    <w:rsid w:val="00C46562"/>
    <w:pPr>
      <w:ind w:left="720"/>
      <w:contextualSpacing/>
    </w:pPr>
  </w:style>
  <w:style w:type="character" w:styleId="IntenseEmphasis">
    <w:name w:val="Intense Emphasis"/>
    <w:basedOn w:val="DefaultParagraphFont"/>
    <w:uiPriority w:val="21"/>
    <w:qFormat/>
    <w:rsid w:val="00C46562"/>
    <w:rPr>
      <w:i/>
      <w:iCs/>
      <w:color w:val="0F4761" w:themeColor="accent1" w:themeShade="BF"/>
    </w:rPr>
  </w:style>
  <w:style w:type="paragraph" w:styleId="IntenseQuote">
    <w:name w:val="Intense Quote"/>
    <w:basedOn w:val="Normal"/>
    <w:next w:val="Normal"/>
    <w:link w:val="IntenseQuoteChar"/>
    <w:uiPriority w:val="30"/>
    <w:qFormat/>
    <w:rsid w:val="00C465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6562"/>
    <w:rPr>
      <w:i/>
      <w:iCs/>
      <w:color w:val="0F4761" w:themeColor="accent1" w:themeShade="BF"/>
    </w:rPr>
  </w:style>
  <w:style w:type="character" w:styleId="IntenseReference">
    <w:name w:val="Intense Reference"/>
    <w:basedOn w:val="DefaultParagraphFont"/>
    <w:uiPriority w:val="32"/>
    <w:qFormat/>
    <w:rsid w:val="00C46562"/>
    <w:rPr>
      <w:b/>
      <w:bCs/>
      <w:smallCaps/>
      <w:color w:val="0F4761" w:themeColor="accent1" w:themeShade="BF"/>
      <w:spacing w:val="5"/>
    </w:rPr>
  </w:style>
  <w:style w:type="paragraph" w:styleId="FootnoteText">
    <w:name w:val="footnote text"/>
    <w:basedOn w:val="Normal"/>
    <w:link w:val="FootnoteTextChar"/>
    <w:uiPriority w:val="99"/>
    <w:semiHidden/>
    <w:unhideWhenUsed/>
    <w:rsid w:val="003531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318B"/>
    <w:rPr>
      <w:sz w:val="20"/>
      <w:szCs w:val="20"/>
    </w:rPr>
  </w:style>
  <w:style w:type="character" w:styleId="FootnoteReference">
    <w:name w:val="footnote reference"/>
    <w:basedOn w:val="DefaultParagraphFont"/>
    <w:uiPriority w:val="99"/>
    <w:semiHidden/>
    <w:unhideWhenUsed/>
    <w:rsid w:val="0035318B"/>
    <w:rPr>
      <w:vertAlign w:val="superscript"/>
    </w:rPr>
  </w:style>
  <w:style w:type="character" w:styleId="CommentReference">
    <w:name w:val="annotation reference"/>
    <w:basedOn w:val="DefaultParagraphFont"/>
    <w:uiPriority w:val="99"/>
    <w:semiHidden/>
    <w:unhideWhenUsed/>
    <w:rsid w:val="0056601D"/>
    <w:rPr>
      <w:sz w:val="16"/>
      <w:szCs w:val="16"/>
    </w:rPr>
  </w:style>
  <w:style w:type="paragraph" w:styleId="CommentText">
    <w:name w:val="annotation text"/>
    <w:basedOn w:val="Normal"/>
    <w:link w:val="CommentTextChar"/>
    <w:uiPriority w:val="99"/>
    <w:unhideWhenUsed/>
    <w:rsid w:val="0056601D"/>
    <w:pPr>
      <w:spacing w:line="240" w:lineRule="auto"/>
    </w:pPr>
    <w:rPr>
      <w:sz w:val="20"/>
      <w:szCs w:val="20"/>
    </w:rPr>
  </w:style>
  <w:style w:type="character" w:customStyle="1" w:styleId="CommentTextChar">
    <w:name w:val="Comment Text Char"/>
    <w:basedOn w:val="DefaultParagraphFont"/>
    <w:link w:val="CommentText"/>
    <w:uiPriority w:val="99"/>
    <w:rsid w:val="0056601D"/>
    <w:rPr>
      <w:sz w:val="20"/>
      <w:szCs w:val="20"/>
    </w:rPr>
  </w:style>
  <w:style w:type="paragraph" w:styleId="CommentSubject">
    <w:name w:val="annotation subject"/>
    <w:basedOn w:val="CommentText"/>
    <w:next w:val="CommentText"/>
    <w:link w:val="CommentSubjectChar"/>
    <w:uiPriority w:val="99"/>
    <w:semiHidden/>
    <w:unhideWhenUsed/>
    <w:rsid w:val="0056601D"/>
    <w:rPr>
      <w:b/>
      <w:bCs/>
    </w:rPr>
  </w:style>
  <w:style w:type="character" w:customStyle="1" w:styleId="CommentSubjectChar">
    <w:name w:val="Comment Subject Char"/>
    <w:basedOn w:val="CommentTextChar"/>
    <w:link w:val="CommentSubject"/>
    <w:uiPriority w:val="99"/>
    <w:semiHidden/>
    <w:rsid w:val="0056601D"/>
    <w:rPr>
      <w:b/>
      <w:bCs/>
      <w:sz w:val="20"/>
      <w:szCs w:val="20"/>
    </w:rPr>
  </w:style>
  <w:style w:type="character" w:styleId="Hyperlink">
    <w:name w:val="Hyperlink"/>
    <w:basedOn w:val="DefaultParagraphFont"/>
    <w:uiPriority w:val="99"/>
    <w:unhideWhenUsed/>
    <w:rsid w:val="0056601D"/>
    <w:rPr>
      <w:color w:val="467886" w:themeColor="hyperlink"/>
      <w:u w:val="single"/>
    </w:rPr>
  </w:style>
  <w:style w:type="character" w:styleId="UnresolvedMention">
    <w:name w:val="Unresolved Mention"/>
    <w:basedOn w:val="DefaultParagraphFont"/>
    <w:uiPriority w:val="99"/>
    <w:semiHidden/>
    <w:unhideWhenUsed/>
    <w:rsid w:val="0056601D"/>
    <w:rPr>
      <w:color w:val="605E5C"/>
      <w:shd w:val="clear" w:color="auto" w:fill="E1DFDD"/>
    </w:rPr>
  </w:style>
  <w:style w:type="paragraph" w:styleId="Header">
    <w:name w:val="header"/>
    <w:basedOn w:val="Normal"/>
    <w:link w:val="HeaderChar"/>
    <w:uiPriority w:val="99"/>
    <w:unhideWhenUsed/>
    <w:rsid w:val="00A81F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F80"/>
  </w:style>
  <w:style w:type="paragraph" w:styleId="Footer">
    <w:name w:val="footer"/>
    <w:basedOn w:val="Normal"/>
    <w:link w:val="FooterChar"/>
    <w:uiPriority w:val="99"/>
    <w:unhideWhenUsed/>
    <w:rsid w:val="00A81F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tudentengagement.ie/courses/studentsurvey-ie-and-y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286A6-E1BA-407B-A2FE-9A844985D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7</Pages>
  <Words>1630</Words>
  <Characters>9297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Harvey</dc:creator>
  <cp:keywords/>
  <dc:description/>
  <cp:lastModifiedBy>Niamh Reddan</cp:lastModifiedBy>
  <cp:revision>24</cp:revision>
  <dcterms:created xsi:type="dcterms:W3CDTF">2026-04-02T11:06:00Z</dcterms:created>
  <dcterms:modified xsi:type="dcterms:W3CDTF">2026-06-17T07:30:00Z</dcterms:modified>
</cp:coreProperties>
</file>